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Что такое тошнота текста? Это показатель SEO-оценки, который показывает частоту повторов одних и тех же слов и однокоренных форм, прежде всего ключевых. Тошнота текста бывает двух видов — классическая и академическая, и у каждой своя шкала расчёта. Классическая опирается на квадратный корень из числа повторов самого частого слова в тексте, академическая считает долю ключевыми словами занятого объёма в процентах от всего массива слов. Этот показатель проверяют копирайтеры и SEO-специалисты, потому что его требуют биржи контента и технические задания заказчиков, а поисковые системы штрафуют страницы за переспам. Ниже — формулы для ручного расчёта, нормы в цифрах и порядок оценки качества текста через сервисы проверки.</w:t>
      </w:r>
    </w:p>
    <w:p>
      <w:pPr>
        <w:pStyle w:val="Heading1"/>
      </w:pPr>
      <w:r>
        <w:t>Классическая тошнота: как считается и что означает значение</w:t>
      </w:r>
    </w:p>
    <w:p>
      <w:r>
        <w:t>Классическая тошнота текста рассчитывается через квадратный корень из количества повторов самого частого слова в документе. Формула простая: считают, сколько раз в тексте встречается слово, которое повторяется чаще остальных, и извлекают из этого числа корень. Шестнадцать повторов дают классическую тошноту, равную четырём. Двадцать пять повторов одного слова дают значение пять. Сорок девять повторов — семь. Показатель не зависит от объёма текста: и в статье на 300 слов, и в материале на 3000 слов при одинаковом числе повторов классическая тошнота будет одинаковой, потому что формула считает не долю, а абсолютное количество. Важная деталь: падежи и формы одного слова — например, «сервис», «сервиса», «сервисом» — при расчёте суммируются как одно слово, а не разные. Поэтому автор, который меняет только окончание ключевого слова, тошноту почти не снижает: сервис проверки всё равно сложит все словоформы в один счётчик.</w:t>
      </w:r>
    </w:p>
    <w:p>
      <w:r>
        <w:t>По информации Компании Комета</w:t>
      </w:r>
    </w:p>
    <w:p>
      <w:pPr>
        <w:pStyle w:val="ListBullet"/>
      </w:pPr>
      <w:r>
        <w:t>по запросу «тошнота текста» разобрано 19 страниц из ТОП-10 Яндекса и Google, медианный объём страницы — 1111 слов</w:t>
      </w:r>
    </w:p>
    <w:p>
      <w:pPr>
        <w:pStyle w:val="ListBullet"/>
      </w:pPr>
      <w:r>
        <w:t>у страниц выдачи в среднем 7 разделов, объём раздела — около 155 слов</w:t>
      </w:r>
    </w:p>
    <w:p>
      <w:pPr>
        <w:pStyle w:val="ListBullet"/>
      </w:pPr>
      <w:r>
        <w:t>числа и проверяемые факты встречаются у них в 14%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Сервис разобрал 19 страниц выдачи Яндекса и Google по запросу «тошнота текста», выделил у ТОПа 7 разделов и посчитал нормы повторов для каждого, а затем сам написал текст на 914 слов с релевантностью 87 пунктов из 100 — про классическую и академическую тошноту, формулы расчёта и допустимые значения. Человеку остаётся подставить свои примеры и данные о сервисе, перепроверить конкретные цифры формул и опубликовать готовую страницу.</w:t>
      </w:r>
    </w:p>
    <w:p>
      <w:pPr>
        <w:pStyle w:val="Heading1"/>
      </w:pPr>
      <w:r>
        <w:t>Академическая тошнота: доля повторов в объёме текста</w:t>
      </w:r>
    </w:p>
    <w:p>
      <w:r>
        <w:t>Академическая тошнота текста показывает долю повторов ключевых слов и фраз от общего количества слов в документе, выраженную в процентах. Если ключевыми фразами и связанными с ними словами заняты 60 вхождений на 1000 слов общий объём текста, академическая тошнота составит примерно 6%. При росте объёма текста тот же набор ключевых слов даёт более низкий процент — 60 вхождений на 2000 слов это уже около 3%, поэтому показатель прямо зависит от объема текста, в отличие от классической тошноты. Разные сервисы проверки считают академическую тошноту по разным методикам: одни учитывают только точные ключевые фразы, другие — все словоформы и синонимичные конструкции, из-за чего результаты расходятся на 1–3 процентных пункта между инструментами. Ключевая разница между видами такая: классическая тошнота реагирует на абсолютное число повторов одного самого частого слова, а академическая — на суммарную долю всех ключевых вхождений в тексте. Проверять их стоит вместе, а не по отдельности.</w:t>
      </w:r>
    </w:p>
    <w:p>
      <w:pPr>
        <w:pStyle w:val="Heading1"/>
      </w:pPr>
      <w:r>
        <w:t>Нормы: какие значения тошноты считаются допустимыми</w:t>
      </w:r>
    </w:p>
    <w:p>
      <w:r>
        <w:t>Официальной нормы тошноты, установленной поисковыми системами, не существует — Яндекс и Google не публикуют пороговых цифр. Эти значения — практика бирж контента и SEO-анализаторов, накопленная за годы работы с текстами, которые ранжируются в топе. Ориентиры такие: классическая тошнота до 7 считается допустимой, комфортный диапазон — 3–5; академическая укладывается в 5–9%. Значения выше 10–12% почти всегда говорят о переспаме и риске санкций за качество текста, ниже 3–4% — о том, что ключевого слова в материале практически нет и продвижение по нужному запросу будет затруднено. Надёжнее ориентироваться не на усреднённые нормы, а на страницы, уже занимающие высокие позиции в поисковой выдаче по целевому запросу.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Тип текста</w:t>
            </w:r>
          </w:p>
        </w:tc>
        <w:tc>
          <w:tcPr>
            <w:tcW w:type="dxa" w:w="2160"/>
          </w:tcPr>
          <w:p>
            <w:r>
              <w:t>Классическая тошнота</w:t>
            </w:r>
          </w:p>
        </w:tc>
        <w:tc>
          <w:tcPr>
            <w:tcW w:type="dxa" w:w="2160"/>
          </w:tcPr>
          <w:p>
            <w:r>
              <w:t>Академическая тошнота</w:t>
            </w:r>
          </w:p>
        </w:tc>
        <w:tc>
          <w:tcPr>
            <w:tcW w:type="dxa" w:w="2160"/>
          </w:tcPr>
          <w:p>
            <w:r>
              <w:t>Комментарий</w:t>
            </w:r>
          </w:p>
        </w:tc>
      </w:tr>
      <w:tr>
        <w:tc>
          <w:tcPr>
            <w:tcW w:type="dxa" w:w="2160"/>
          </w:tcPr>
          <w:p>
            <w:r>
              <w:t>Карточка товара</w:t>
            </w:r>
          </w:p>
        </w:tc>
        <w:tc>
          <w:tcPr>
            <w:tcW w:type="dxa" w:w="2160"/>
          </w:tcPr>
          <w:p>
            <w:r>
              <w:t>2–4</w:t>
            </w:r>
          </w:p>
        </w:tc>
        <w:tc>
          <w:tcPr>
            <w:tcW w:type="dxa" w:w="2160"/>
          </w:tcPr>
          <w:p>
            <w:r>
              <w:t>4–6%</w:t>
            </w:r>
          </w:p>
        </w:tc>
        <w:tc>
          <w:tcPr>
            <w:tcW w:type="dxa" w:w="2160"/>
          </w:tcPr>
          <w:p>
            <w:r>
              <w:t>Короткий текст, ключ вводят один-два раза</w:t>
            </w:r>
          </w:p>
        </w:tc>
      </w:tr>
      <w:tr>
        <w:tc>
          <w:tcPr>
            <w:tcW w:type="dxa" w:w="2160"/>
          </w:tcPr>
          <w:p>
            <w:r>
              <w:t>Статья в блог</w:t>
            </w:r>
          </w:p>
        </w:tc>
        <w:tc>
          <w:tcPr>
            <w:tcW w:type="dxa" w:w="2160"/>
          </w:tcPr>
          <w:p>
            <w:r>
              <w:t>3–5</w:t>
            </w:r>
          </w:p>
        </w:tc>
        <w:tc>
          <w:tcPr>
            <w:tcW w:type="dxa" w:w="2160"/>
          </w:tcPr>
          <w:p>
            <w:r>
              <w:t>5–8%</w:t>
            </w:r>
          </w:p>
        </w:tc>
        <w:tc>
          <w:tcPr>
            <w:tcW w:type="dxa" w:w="2160"/>
          </w:tcPr>
          <w:p>
            <w:r>
              <w:t>Комфортный уровень для длинных материалов</w:t>
            </w:r>
          </w:p>
        </w:tc>
      </w:tr>
      <w:tr>
        <w:tc>
          <w:tcPr>
            <w:tcW w:type="dxa" w:w="2160"/>
          </w:tcPr>
          <w:p>
            <w:r>
              <w:t>Landing / коммерческая страница</w:t>
            </w:r>
          </w:p>
        </w:tc>
        <w:tc>
          <w:tcPr>
            <w:tcW w:type="dxa" w:w="2160"/>
          </w:tcPr>
          <w:p>
            <w:r>
              <w:t>4–6</w:t>
            </w:r>
          </w:p>
        </w:tc>
        <w:tc>
          <w:tcPr>
            <w:tcW w:type="dxa" w:w="2160"/>
          </w:tcPr>
          <w:p>
            <w:r>
              <w:t>6–9%</w:t>
            </w:r>
          </w:p>
        </w:tc>
        <w:tc>
          <w:tcPr>
            <w:tcW w:type="dxa" w:w="2160"/>
          </w:tcPr>
          <w:p>
            <w:r>
              <w:t>Плотность выше из-за повторов оффера</w:t>
            </w:r>
          </w:p>
        </w:tc>
      </w:tr>
      <w:tr>
        <w:tc>
          <w:tcPr>
            <w:tcW w:type="dxa" w:w="2160"/>
          </w:tcPr>
          <w:p>
            <w:r>
              <w:t>Переоптимизированный текст</w:t>
            </w:r>
          </w:p>
        </w:tc>
        <w:tc>
          <w:tcPr>
            <w:tcW w:type="dxa" w:w="2160"/>
          </w:tcPr>
          <w:p>
            <w:r>
              <w:t>7 и выше</w:t>
            </w:r>
          </w:p>
        </w:tc>
        <w:tc>
          <w:tcPr>
            <w:tcW w:type="dxa" w:w="2160"/>
          </w:tcPr>
          <w:p>
            <w:r>
              <w:t>10% и выше</w:t>
            </w:r>
          </w:p>
        </w:tc>
        <w:tc>
          <w:tcPr>
            <w:tcW w:type="dxa" w:w="2160"/>
          </w:tcPr>
          <w:p>
            <w:r>
              <w:t>Риск фильтра поисковика за переспам</w:t>
            </w:r>
          </w:p>
        </w:tc>
      </w:tr>
    </w:tbl>
    <w:p>
      <w:pPr>
        <w:pStyle w:val="Heading1"/>
      </w:pPr>
      <w:r>
        <w:t>Проверка текста на тошноту: чем считать и как сверять результаты</w:t>
      </w:r>
    </w:p>
    <w:p>
      <w:r>
        <w:t>Проверка идёт в четыре шага. Сначала текст вставляют в сервис без меню, футера и служебных блоков — иначе показатель искажается посторонними словами. Затем получают сразу оба значения — классическую и академическую тошноту, а также водность и частотность слов и словосочетаний из 2–4 слов. Дальше изучают список самых частых слов: если наверху не ключевые фразы, а случайные предлоги или общие термины, текст нужно переписывать. Последний шаг — сверка результата на втором сервисе, потому что цифры могут отличаться.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Сервис</w:t>
            </w:r>
          </w:p>
        </w:tc>
        <w:tc>
          <w:tcPr>
            <w:tcW w:type="dxa" w:w="2160"/>
          </w:tcPr>
          <w:p>
            <w:r>
              <w:t>Что считает</w:t>
            </w:r>
          </w:p>
        </w:tc>
        <w:tc>
          <w:tcPr>
            <w:tcW w:type="dxa" w:w="2160"/>
          </w:tcPr>
          <w:p>
            <w:r>
              <w:t>Лимит</w:t>
            </w:r>
          </w:p>
        </w:tc>
        <w:tc>
          <w:tcPr>
            <w:tcW w:type="dxa" w:w="2160"/>
          </w:tcPr>
          <w:p>
            <w:r>
              <w:t>Стоимость</w:t>
            </w:r>
          </w:p>
        </w:tc>
      </w:tr>
      <w:tr>
        <w:tc>
          <w:tcPr>
            <w:tcW w:type="dxa" w:w="2160"/>
          </w:tcPr>
          <w:p>
            <w:r>
              <w:t>Advego</w:t>
            </w:r>
          </w:p>
        </w:tc>
        <w:tc>
          <w:tcPr>
            <w:tcW w:type="dxa" w:w="2160"/>
          </w:tcPr>
          <w:p>
            <w:r>
              <w:t>Классическая и академическая тошнота, водность, частотность слов</w:t>
            </w:r>
          </w:p>
        </w:tc>
        <w:tc>
          <w:tcPr>
            <w:tcW w:type="dxa" w:w="2160"/>
          </w:tcPr>
          <w:p>
            <w:r>
              <w:t>по тарифам сервиса</w:t>
            </w:r>
          </w:p>
        </w:tc>
        <w:tc>
          <w:tcPr>
            <w:tcW w:type="dxa" w:w="2160"/>
          </w:tcPr>
          <w:p>
            <w:r>
              <w:t>базовая проверка бесплатна</w:t>
            </w:r>
          </w:p>
        </w:tc>
      </w:tr>
      <w:tr>
        <w:tc>
          <w:tcPr>
            <w:tcW w:type="dxa" w:w="2160"/>
          </w:tcPr>
          <w:p>
            <w:r>
              <w:t>Text.ru</w:t>
            </w:r>
          </w:p>
        </w:tc>
        <w:tc>
          <w:tcPr>
            <w:tcW w:type="dxa" w:w="2160"/>
          </w:tcPr>
          <w:p>
            <w:r>
              <w:t>Академическая тошнота, уникальность, орфография</w:t>
            </w:r>
          </w:p>
        </w:tc>
        <w:tc>
          <w:tcPr>
            <w:tcW w:type="dxa" w:w="2160"/>
          </w:tcPr>
          <w:p>
            <w:r>
              <w:t>по тарифам сервиса</w:t>
            </w:r>
          </w:p>
        </w:tc>
        <w:tc>
          <w:tcPr>
            <w:tcW w:type="dxa" w:w="2160"/>
          </w:tcPr>
          <w:p>
            <w:r>
              <w:t>базовая проверка бесплатна</w:t>
            </w:r>
          </w:p>
        </w:tc>
      </w:tr>
      <w:tr>
        <w:tc>
          <w:tcPr>
            <w:tcW w:type="dxa" w:w="2160"/>
          </w:tcPr>
          <w:p>
            <w:r>
              <w:t>Istio</w:t>
            </w:r>
          </w:p>
        </w:tc>
        <w:tc>
          <w:tcPr>
            <w:tcW w:type="dxa" w:w="2160"/>
          </w:tcPr>
          <w:p>
            <w:r>
              <w:t>Классическая и академическая тошнота, семантическое ядро</w:t>
            </w:r>
          </w:p>
        </w:tc>
        <w:tc>
          <w:tcPr>
            <w:tcW w:type="dxa" w:w="2160"/>
          </w:tcPr>
          <w:p>
            <w:r>
              <w:t>по тарифам сервиса</w:t>
            </w:r>
          </w:p>
        </w:tc>
        <w:tc>
          <w:tcPr>
            <w:tcW w:type="dxa" w:w="2160"/>
          </w:tcPr>
          <w:p>
            <w:r>
              <w:t>Бесплатно</w:t>
            </w:r>
          </w:p>
        </w:tc>
      </w:tr>
      <w:tr>
        <w:tc>
          <w:tcPr>
            <w:tcW w:type="dxa" w:w="2160"/>
          </w:tcPr>
          <w:p>
            <w:r>
              <w:t>Miratext</w:t>
            </w:r>
          </w:p>
        </w:tc>
        <w:tc>
          <w:tcPr>
            <w:tcW w:type="dxa" w:w="2160"/>
          </w:tcPr>
          <w:p>
            <w:r>
              <w:t>Классическая тошнота, частотность фраз</w:t>
            </w:r>
          </w:p>
        </w:tc>
        <w:tc>
          <w:tcPr>
            <w:tcW w:type="dxa" w:w="2160"/>
          </w:tcPr>
          <w:p>
            <w:r>
              <w:t>по тарифам сервиса</w:t>
            </w:r>
          </w:p>
        </w:tc>
        <w:tc>
          <w:tcPr>
            <w:tcW w:type="dxa" w:w="2160"/>
          </w:tcPr>
          <w:p>
            <w:r>
              <w:t>базовая проверка бесплатна</w:t>
            </w:r>
          </w:p>
        </w:tc>
      </w:tr>
    </w:tbl>
    <w:p>
      <w:r>
        <w:t>Смешивать показатели разных сервисов проверки в одном ТЗ нельзя: если заказчик требует классическую тошноту не выше 5 по Advego, проверка по Istio с иной методикой даст другое число и правки будут бессмысленны. Проверьте текст сначала на том инструменте, который указан в задании, и только затем — на альтернативном для контроля.</w:t>
      </w:r>
    </w:p>
    <w:p>
      <w:pPr>
        <w:pStyle w:val="Heading1"/>
      </w:pPr>
      <w:r>
        <w:t>Как снизить тошноту без потери смысла</w:t>
      </w:r>
    </w:p>
    <w:p>
      <w:r>
        <w:t>Если значения выходят за норму, помогает точечная правка, а не переписывание текста целиком.</w:t>
      </w:r>
    </w:p>
    <w:p>
      <w:pPr>
        <w:pStyle w:val="ListBullet"/>
      </w:pPr>
      <w:r>
        <w:t>Заменить часть повторов ключевого слова на синоним или местоимение — снижает и классическую, и академическую тошноту.</w:t>
      </w:r>
    </w:p>
    <w:p>
      <w:pPr>
        <w:pStyle w:val="ListBullet"/>
      </w:pPr>
      <w:r>
        <w:t>Удалить лишнее вхождение фразы, которая повторяется без смысловой нагрузки — снижает классическую тошноту сильнее всего.</w:t>
      </w:r>
    </w:p>
    <w:p>
      <w:pPr>
        <w:pStyle w:val="ListBullet"/>
      </w:pPr>
      <w:r>
        <w:t>Переписать заголовки так, чтобы дубль ключа не встречался в H1 и следующем H2 подряд — снижает классическую тошноту и убирает риск переоптимизации.</w:t>
      </w:r>
    </w:p>
    <w:p>
      <w:pPr>
        <w:pStyle w:val="ListBullet"/>
      </w:pPr>
      <w:r>
        <w:t>Использовать разные словоформы одного корня вместо точного повтора — работает слабо на классическую тошноту, но снижает восприятие переспама.</w:t>
      </w:r>
    </w:p>
    <w:p>
      <w:pPr>
        <w:pStyle w:val="ListBullet"/>
      </w:pPr>
      <w:r>
        <w:t>Перенести перечисления из сплошного абзаца в список или таблицу — сокращает общее количество слов вокруг ключевых фраз.</w:t>
      </w:r>
    </w:p>
    <w:p>
      <w:pPr>
        <w:pStyle w:val="ListBullet"/>
      </w:pPr>
      <w:r>
        <w:t>Увеличить объём текста релевантным содержанием — работает только на академическую тошноту, классическую не меняет.</w:t>
      </w:r>
    </w:p>
    <w:p>
      <w:r>
        <w:t>Нельзя убирать ключевые слова полностью: это снижает тошноту, но обнуляет релевантность для поисковой выдачи. Пример «до»: «Сервис проверки текста нужен, чтобы сервис показал показатель тошноты, а сервис сравнил его с нормой» — классическая тошнота 3 (слово «сервис» повторяется 9 раз в абзаце из условных 20 слов). Пример «после»: «Онлайн-инструмент нужен, чтобы получить показатель тошноты и сравнить его с нормой» — классическая тошнота снижается до 1–2 за счёт удаления повторов слова «сервис».</w:t>
      </w:r>
    </w:p>
    <w:p>
      <w:pPr>
        <w:pStyle w:val="Heading1"/>
      </w:pPr>
      <w:r>
        <w:t>Ошибки авторов и тексты, которые не нужно проверять</w:t>
      </w:r>
    </w:p>
    <w:p>
      <w:pPr>
        <w:pStyle w:val="ListBullet"/>
      </w:pPr>
      <w:r>
        <w:t>Подгонка текста под конкретную цифру тошноты без внимания к смыслу — фразы становятся неестественными.</w:t>
      </w:r>
    </w:p>
    <w:p>
      <w:pPr>
        <w:pStyle w:val="ListBullet"/>
      </w:pPr>
      <w:r>
        <w:t>Точное вхождение ключевого слова в каждый абзац подряд — поисковые системы читают это как переспам, а не как полезный контент.</w:t>
      </w:r>
    </w:p>
    <w:p>
      <w:pPr>
        <w:pStyle w:val="ListBullet"/>
      </w:pPr>
      <w:r>
        <w:t>Дубль одного ключа в H1 и следующем H2 — лишний повтор, который повышает классическую тошноту без пользы для позиции в поисковой выдаче.</w:t>
      </w:r>
    </w:p>
    <w:p>
      <w:pPr>
        <w:pStyle w:val="ListBullet"/>
      </w:pPr>
      <w:r>
        <w:t>Проверка текста вместе с меню, футером и блоком похожих товаров — искажает результат, потому что служебные слова тоже считаются.</w:t>
      </w:r>
    </w:p>
    <w:p>
      <w:r>
        <w:t>Следствие таких ошибок — переоптимизация и просадка позиций после апдейта алгоритма. Проверку тошноты стоит пропускать для юридических документов, технических инструкций с обязательной терминологией, узких профессиональных текстов без синонимов и материалов короче 300–500 слов: там повтор термина неизбежен и не влияет на продвижение по запросу.</w:t>
      </w:r>
    </w:p>
    <w:p>
      <w:pPr>
        <w:pStyle w:val="Heading1"/>
      </w:pPr>
      <w:r>
        <w:t>Частые вопросы о тошноте текста</w:t>
      </w:r>
    </w:p>
    <w:p>
      <w:pPr>
        <w:pStyle w:val="Heading2"/>
      </w:pPr>
      <w:r>
        <w:t>Что такое тошнота текста и что она показывает?</w:t>
      </w:r>
    </w:p>
    <w:p>
      <w:r>
        <w:t>Тошнота текста — показатель заспамленности, который показывает частоту повторов слов и ключевых фраз. Он есть у любого текста, и чем выше значение, тем сильнее заметен переспам для читателя и поисковика.</w:t>
      </w:r>
    </w:p>
    <w:p>
      <w:pPr>
        <w:pStyle w:val="Heading2"/>
      </w:pPr>
      <w:r>
        <w:t>Что значит классическая тошнота текста и чем она отличается от академической?</w:t>
      </w:r>
    </w:p>
    <w:p>
      <w:r>
        <w:t>Классическая тошнота текста считается через корень из числа повторов самого частого слова и не зависит от объёма. Академическая тошнота — доля ключевых слов в процентах от общего текста, тесно связана с объёмом материала. Вместе они дают классическую академическую тошноту — полную картину заспамленности.</w:t>
      </w:r>
    </w:p>
    <w:p>
      <w:pPr>
        <w:pStyle w:val="Heading2"/>
      </w:pPr>
      <w:r>
        <w:t>Какая тошнота текста считается нормой?</w:t>
      </w:r>
    </w:p>
    <w:p>
      <w:r>
        <w:t>Нормой обычно считают классическую тошноту 3–5 и академическую 5–9%, но единой официальной нормы у поисковых систем нет. Точнее ориентироваться на конкретную выдачу и уже ранжирующиеся страницы.</w:t>
      </w:r>
    </w:p>
    <w:p>
      <w:pPr>
        <w:pStyle w:val="Heading2"/>
      </w:pPr>
      <w:r>
        <w:t>Как проверить текст на тошноту онлайн?</w:t>
      </w:r>
    </w:p>
    <w:p>
      <w:r>
        <w:t>Проще всего вставить чистый текст в сервис проверки, получить классическую и академическую тошноту, а затем сверить результат на другом инструменте. Расхождение в 1–3 пункта — нормальная погрешность методик.</w:t>
      </w:r>
    </w:p>
    <w:p>
      <w:pPr>
        <w:pStyle w:val="Heading2"/>
      </w:pPr>
      <w:r>
        <w:t>Нужно ли переписывать текст, если тошнота чуть выше нормы?</w:t>
      </w:r>
    </w:p>
    <w:p>
      <w:r>
        <w:t>Не всегда: если текст полезный и читается легко, небольшое превышение можно оставить без правок. Переписывать стоит, когда повтор режет слух или мешает восприятию смысла.</w:t>
      </w:r>
    </w:p>
    <w:p>
      <w:r>
        <w:t>Проверьте текст в анализаторе ТЗшник — это займёт пару минут и покажет реальные значения тошноты вместо оценки на глаз.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19 · объём текста: 914 слов · релевантность выдаче: 87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